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030C9" w:rsidRDefault="00B030C9" w:rsidP="00B030C9">
      <w:pPr>
        <w:spacing w:after="64" w:line="240" w:lineRule="auto"/>
        <w:jc w:val="both"/>
        <w:rPr>
          <w:rFonts w:ascii="Arial" w:eastAsia="Times New Roman" w:hAnsi="Arial" w:cs="Arial"/>
          <w:b/>
          <w:sz w:val="18"/>
          <w:szCs w:val="24"/>
          <w:lang w:eastAsia="es-ES"/>
        </w:rPr>
      </w:pPr>
    </w:p>
    <w:p w:rsidR="00B030C9" w:rsidRDefault="00B030C9" w:rsidP="00B030C9">
      <w:pPr>
        <w:spacing w:after="64" w:line="240" w:lineRule="auto"/>
        <w:jc w:val="both"/>
        <w:rPr>
          <w:rFonts w:ascii="Arial" w:eastAsia="Times New Roman" w:hAnsi="Arial" w:cs="Arial"/>
          <w:b/>
          <w:sz w:val="18"/>
          <w:szCs w:val="24"/>
          <w:lang w:eastAsia="es-ES"/>
        </w:rPr>
      </w:pPr>
    </w:p>
    <w:p w:rsidR="00B030C9" w:rsidRDefault="00B030C9" w:rsidP="00B030C9">
      <w:pPr>
        <w:spacing w:after="64" w:line="240" w:lineRule="auto"/>
        <w:jc w:val="both"/>
        <w:rPr>
          <w:rFonts w:ascii="Arial" w:eastAsia="Times New Roman" w:hAnsi="Arial" w:cs="Arial"/>
          <w:b/>
          <w:sz w:val="18"/>
          <w:szCs w:val="24"/>
          <w:lang w:eastAsia="es-ES"/>
        </w:rPr>
      </w:pPr>
    </w:p>
    <w:p w:rsidR="00B030C9" w:rsidRPr="00B030C9" w:rsidRDefault="00B030C9" w:rsidP="00B030C9">
      <w:pPr>
        <w:spacing w:after="50" w:line="220" w:lineRule="exact"/>
        <w:ind w:firstLine="288"/>
        <w:jc w:val="both"/>
        <w:rPr>
          <w:rFonts w:ascii="Arial" w:eastAsia="Times New Roman" w:hAnsi="Arial" w:cs="Arial"/>
          <w:sz w:val="18"/>
          <w:szCs w:val="20"/>
          <w:lang w:val="es-ES" w:eastAsia="es-ES"/>
        </w:rPr>
      </w:pPr>
      <w:r w:rsidRPr="00B030C9">
        <w:rPr>
          <w:rFonts w:ascii="Arial" w:eastAsia="Times New Roman" w:hAnsi="Arial" w:cs="Arial"/>
          <w:b/>
          <w:sz w:val="18"/>
          <w:szCs w:val="20"/>
          <w:lang w:val="es-ES" w:eastAsia="es-ES"/>
        </w:rPr>
        <w:t>Artículo 91.-</w:t>
      </w:r>
      <w:r w:rsidRPr="00B030C9">
        <w:rPr>
          <w:rFonts w:ascii="Arial" w:eastAsia="Times New Roman" w:hAnsi="Arial" w:cs="Arial"/>
          <w:sz w:val="18"/>
          <w:szCs w:val="20"/>
          <w:lang w:val="es-ES" w:eastAsia="es-ES"/>
        </w:rPr>
        <w:t xml:space="preserve"> La garantía de cumplimiento de las obligaciones derivadas del contrato no podrá ser menor al diez por ciento del monto total autorizado al contrato en cada ejercicio, sin perjuicio de lo dispuesto en el artículo 48 de la Ley. La garantía de cumplimiento se hará efectiva por el monto total de la obligación garantizada salvo que, por la naturaleza de las obras y servicios, en el contrato se haya estipulado la divisibilidad de la misma.</w:t>
      </w:r>
    </w:p>
    <w:p w:rsidR="00B030C9" w:rsidRPr="00B030C9" w:rsidRDefault="00B030C9" w:rsidP="00B030C9">
      <w:pPr>
        <w:spacing w:after="50" w:line="220" w:lineRule="exact"/>
        <w:ind w:firstLine="288"/>
        <w:jc w:val="both"/>
        <w:rPr>
          <w:rFonts w:ascii="Arial" w:eastAsia="Times New Roman" w:hAnsi="Arial" w:cs="Arial"/>
          <w:sz w:val="18"/>
          <w:szCs w:val="20"/>
          <w:lang w:val="es-ES" w:eastAsia="es-ES"/>
        </w:rPr>
      </w:pPr>
      <w:r w:rsidRPr="00B030C9">
        <w:rPr>
          <w:rFonts w:ascii="Arial" w:eastAsia="Times New Roman" w:hAnsi="Arial" w:cs="Arial"/>
          <w:sz w:val="18"/>
          <w:szCs w:val="20"/>
          <w:lang w:val="es-ES" w:eastAsia="es-ES"/>
        </w:rPr>
        <w:t>La garantía de cumplimiento deberá ser entregada a la dependencia o entidad dentro de los quince días naturales siguientes a la fecha en que el licitante a quien se le haya adjudicado el contrato reciba la notificación del fallo, pero invariablemente antes de la firma del contrato.</w:t>
      </w:r>
    </w:p>
    <w:p w:rsidR="00B030C9" w:rsidRPr="00B030C9" w:rsidRDefault="00B030C9" w:rsidP="00B030C9">
      <w:pPr>
        <w:spacing w:after="50" w:line="220" w:lineRule="exact"/>
        <w:ind w:firstLine="288"/>
        <w:jc w:val="both"/>
        <w:rPr>
          <w:rFonts w:ascii="Arial" w:eastAsia="Times New Roman" w:hAnsi="Arial" w:cs="Arial"/>
          <w:sz w:val="18"/>
          <w:szCs w:val="20"/>
          <w:lang w:val="es-ES" w:eastAsia="es-ES"/>
        </w:rPr>
      </w:pPr>
      <w:r w:rsidRPr="00B030C9">
        <w:rPr>
          <w:rFonts w:ascii="Arial" w:eastAsia="Times New Roman" w:hAnsi="Arial" w:cs="Arial"/>
          <w:sz w:val="18"/>
          <w:szCs w:val="20"/>
          <w:lang w:val="es-ES" w:eastAsia="es-ES"/>
        </w:rPr>
        <w:t>En aquellos contratos cuyo plazo de ejecución supere un ejercicio presupuestal, se estará a lo dispuesto en el artículo 92 de este Reglamento.</w:t>
      </w:r>
    </w:p>
    <w:p w:rsidR="00B030C9" w:rsidRPr="00B030C9" w:rsidRDefault="00B030C9" w:rsidP="00B030C9">
      <w:pPr>
        <w:spacing w:after="50" w:line="220" w:lineRule="exact"/>
        <w:ind w:firstLine="288"/>
        <w:jc w:val="both"/>
        <w:rPr>
          <w:rFonts w:ascii="Arial" w:eastAsia="Times New Roman" w:hAnsi="Arial" w:cs="Arial"/>
          <w:sz w:val="18"/>
          <w:szCs w:val="20"/>
          <w:lang w:val="es-ES" w:eastAsia="es-ES"/>
        </w:rPr>
      </w:pPr>
      <w:r w:rsidRPr="008B16A6">
        <w:rPr>
          <w:rFonts w:ascii="Arial" w:eastAsia="Times New Roman" w:hAnsi="Arial" w:cs="Arial"/>
          <w:b/>
          <w:i/>
          <w:sz w:val="18"/>
          <w:szCs w:val="20"/>
          <w:lang w:val="es-ES" w:eastAsia="es-ES"/>
        </w:rPr>
        <w:t>Las modificaciones en monto o plazo de los contratos conllevarán el respectivo ajuste a la garantía de cumplimiento</w:t>
      </w:r>
      <w:r w:rsidRPr="00B030C9">
        <w:rPr>
          <w:rFonts w:ascii="Arial" w:eastAsia="Times New Roman" w:hAnsi="Arial" w:cs="Arial"/>
          <w:sz w:val="18"/>
          <w:szCs w:val="20"/>
          <w:lang w:val="es-ES" w:eastAsia="es-ES"/>
        </w:rPr>
        <w:t>. Cuando se trate de un incremento en el monto o una ampliación en el plazo que no se encuentren cubiertos por la garantía originalmente otorgada, deberá estipularse en el convenio modificatorio respectivo el plazo para entregar la ampliación de la garantía, el cual no deberá exceder de diez días naturales siguientes a la firma de dicho convenio, así como incluirse una cláusula resolutoria del convenio en el caso de que la ampliación de garantía no sea entregada en el plazo señalado. Tratándose de fianza, el ajuste correspondiente se realizará conforme a lo dispuesto por la fracción II y el último párrafo del artículo 98 del presente Reglamento.</w:t>
      </w:r>
    </w:p>
    <w:p w:rsidR="00B030C9" w:rsidRDefault="00B030C9" w:rsidP="00B030C9">
      <w:pPr>
        <w:spacing w:after="64" w:line="240" w:lineRule="auto"/>
        <w:jc w:val="both"/>
        <w:rPr>
          <w:rFonts w:ascii="Arial" w:eastAsia="Times New Roman" w:hAnsi="Arial" w:cs="Arial"/>
          <w:b/>
          <w:sz w:val="18"/>
          <w:szCs w:val="24"/>
          <w:lang w:val="es-ES" w:eastAsia="es-ES"/>
        </w:rPr>
      </w:pPr>
    </w:p>
    <w:p w:rsidR="00B030C9" w:rsidRPr="00B030C9" w:rsidRDefault="00B030C9" w:rsidP="00B030C9">
      <w:pPr>
        <w:spacing w:after="50" w:line="217" w:lineRule="exact"/>
        <w:ind w:firstLine="288"/>
        <w:jc w:val="both"/>
        <w:rPr>
          <w:rFonts w:ascii="Arial" w:eastAsia="Times New Roman" w:hAnsi="Arial" w:cs="Arial"/>
          <w:sz w:val="18"/>
          <w:szCs w:val="20"/>
          <w:lang w:val="es-ES" w:eastAsia="es-ES"/>
        </w:rPr>
      </w:pPr>
      <w:r w:rsidRPr="00B030C9">
        <w:rPr>
          <w:rFonts w:ascii="Arial" w:eastAsia="Times New Roman" w:hAnsi="Arial" w:cs="Arial"/>
          <w:b/>
          <w:sz w:val="18"/>
          <w:szCs w:val="20"/>
          <w:lang w:val="es-ES" w:eastAsia="es-ES"/>
        </w:rPr>
        <w:t xml:space="preserve">Artículo 98.- </w:t>
      </w:r>
      <w:r w:rsidRPr="00B030C9">
        <w:rPr>
          <w:rFonts w:ascii="Arial" w:eastAsia="Times New Roman" w:hAnsi="Arial" w:cs="Arial"/>
          <w:sz w:val="18"/>
          <w:szCs w:val="20"/>
          <w:lang w:val="es-ES" w:eastAsia="es-ES"/>
        </w:rPr>
        <w:t>Los contratistas podrán otorgar las garantías a que se refiere la Ley y este Reglamento, en alguna de las formas previstas en el artículo 137 del Reglamento de la Ley del Servicio de Tesorería de la Federación en el caso de dependencias, o en las disposiciones aplicables tratándose de entidades.</w:t>
      </w:r>
    </w:p>
    <w:p w:rsidR="00B030C9" w:rsidRPr="00B030C9" w:rsidRDefault="00B030C9" w:rsidP="00B030C9">
      <w:pPr>
        <w:spacing w:after="50" w:line="217" w:lineRule="exact"/>
        <w:ind w:firstLine="288"/>
        <w:jc w:val="both"/>
        <w:rPr>
          <w:rFonts w:ascii="Arial" w:eastAsia="Times New Roman" w:hAnsi="Arial" w:cs="Arial"/>
          <w:sz w:val="18"/>
          <w:szCs w:val="20"/>
          <w:lang w:val="es-ES_tradnl" w:eastAsia="es-ES"/>
        </w:rPr>
      </w:pPr>
      <w:r w:rsidRPr="00B030C9">
        <w:rPr>
          <w:rFonts w:ascii="Arial" w:eastAsia="Times New Roman" w:hAnsi="Arial" w:cs="Arial"/>
          <w:sz w:val="18"/>
          <w:szCs w:val="20"/>
          <w:lang w:val="es-ES_tradnl" w:eastAsia="es-ES"/>
        </w:rPr>
        <w:t>Cuando la forma de garantía sea mediante fianza, se observará lo siguiente:</w:t>
      </w:r>
    </w:p>
    <w:p w:rsidR="00B030C9" w:rsidRPr="00B030C9" w:rsidRDefault="00B030C9" w:rsidP="00B030C9">
      <w:pPr>
        <w:spacing w:after="50" w:line="217" w:lineRule="exact"/>
        <w:ind w:left="864" w:hanging="576"/>
        <w:jc w:val="both"/>
        <w:rPr>
          <w:rFonts w:ascii="Arial" w:eastAsia="Times New Roman" w:hAnsi="Arial" w:cs="Arial"/>
          <w:sz w:val="18"/>
          <w:szCs w:val="20"/>
          <w:lang w:val="es-ES_tradnl" w:eastAsia="es-ES"/>
        </w:rPr>
      </w:pPr>
      <w:r w:rsidRPr="00B030C9">
        <w:rPr>
          <w:rFonts w:ascii="Arial" w:eastAsia="Times New Roman" w:hAnsi="Arial" w:cs="Arial"/>
          <w:b/>
          <w:sz w:val="18"/>
          <w:szCs w:val="20"/>
          <w:lang w:val="es-ES" w:eastAsia="es-ES"/>
        </w:rPr>
        <w:t>I.</w:t>
      </w:r>
      <w:r w:rsidRPr="00B030C9">
        <w:rPr>
          <w:rFonts w:ascii="Arial" w:eastAsia="Times New Roman" w:hAnsi="Arial" w:cs="Arial"/>
          <w:sz w:val="18"/>
          <w:szCs w:val="20"/>
          <w:lang w:val="es-ES" w:eastAsia="es-ES"/>
        </w:rPr>
        <w:tab/>
      </w:r>
      <w:r w:rsidRPr="00B030C9">
        <w:rPr>
          <w:rFonts w:ascii="Arial" w:eastAsia="Times New Roman" w:hAnsi="Arial" w:cs="Arial"/>
          <w:sz w:val="18"/>
          <w:szCs w:val="20"/>
          <w:lang w:val="es-ES_tradnl" w:eastAsia="es-ES"/>
        </w:rPr>
        <w:t xml:space="preserve">La póliza de la fianza deberá </w:t>
      </w:r>
      <w:r w:rsidRPr="00B030C9">
        <w:rPr>
          <w:rFonts w:ascii="Arial" w:eastAsia="Times New Roman" w:hAnsi="Arial" w:cs="Arial"/>
          <w:sz w:val="18"/>
          <w:szCs w:val="20"/>
          <w:lang w:val="es-ES" w:eastAsia="es-ES"/>
        </w:rPr>
        <w:t>contener</w:t>
      </w:r>
      <w:r w:rsidRPr="00B030C9">
        <w:rPr>
          <w:rFonts w:ascii="Arial" w:eastAsia="Times New Roman" w:hAnsi="Arial" w:cs="Arial"/>
          <w:sz w:val="18"/>
          <w:szCs w:val="20"/>
          <w:lang w:val="es-ES_tradnl" w:eastAsia="es-ES"/>
        </w:rPr>
        <w:t xml:space="preserve"> como mínimo las siguientes </w:t>
      </w:r>
      <w:r w:rsidRPr="00B030C9">
        <w:rPr>
          <w:rFonts w:ascii="Arial" w:eastAsia="Times New Roman" w:hAnsi="Arial" w:cs="Arial"/>
          <w:sz w:val="18"/>
          <w:szCs w:val="20"/>
          <w:lang w:val="es-ES" w:eastAsia="es-ES"/>
        </w:rPr>
        <w:t>previsiones</w:t>
      </w:r>
      <w:r w:rsidRPr="00B030C9">
        <w:rPr>
          <w:rFonts w:ascii="Arial" w:eastAsia="Times New Roman" w:hAnsi="Arial" w:cs="Arial"/>
          <w:sz w:val="18"/>
          <w:szCs w:val="20"/>
          <w:lang w:val="es-ES_tradnl" w:eastAsia="es-ES"/>
        </w:rPr>
        <w:t>:</w:t>
      </w:r>
    </w:p>
    <w:p w:rsidR="00B030C9" w:rsidRPr="00B030C9" w:rsidRDefault="00B030C9" w:rsidP="00B030C9">
      <w:pPr>
        <w:spacing w:after="50" w:line="217" w:lineRule="exact"/>
        <w:ind w:left="1296" w:hanging="432"/>
        <w:jc w:val="both"/>
        <w:rPr>
          <w:rFonts w:ascii="Arial" w:eastAsia="Times New Roman" w:hAnsi="Arial" w:cs="Arial"/>
          <w:sz w:val="18"/>
          <w:szCs w:val="20"/>
          <w:lang w:val="es-ES" w:eastAsia="es-ES"/>
        </w:rPr>
      </w:pPr>
      <w:r w:rsidRPr="00B030C9">
        <w:rPr>
          <w:rFonts w:ascii="Arial" w:eastAsia="Times New Roman" w:hAnsi="Arial" w:cs="Arial"/>
          <w:b/>
          <w:sz w:val="18"/>
          <w:szCs w:val="20"/>
          <w:lang w:val="es-ES" w:eastAsia="es-ES"/>
        </w:rPr>
        <w:t>a)</w:t>
      </w:r>
      <w:r w:rsidRPr="00B030C9">
        <w:rPr>
          <w:rFonts w:ascii="Arial" w:eastAsia="Times New Roman" w:hAnsi="Arial" w:cs="Arial"/>
          <w:b/>
          <w:sz w:val="18"/>
          <w:szCs w:val="20"/>
          <w:lang w:val="es-ES" w:eastAsia="es-ES"/>
        </w:rPr>
        <w:tab/>
      </w:r>
      <w:r w:rsidRPr="00B030C9">
        <w:rPr>
          <w:rFonts w:ascii="Arial" w:eastAsia="Times New Roman" w:hAnsi="Arial" w:cs="Arial"/>
          <w:sz w:val="18"/>
          <w:szCs w:val="20"/>
          <w:lang w:val="es-ES" w:eastAsia="es-ES"/>
        </w:rPr>
        <w:t>Que la fianza se otorgará atendiendo a todas las estipulaciones contenidas en el contrato;</w:t>
      </w:r>
    </w:p>
    <w:p w:rsidR="00B030C9" w:rsidRPr="00B030C9" w:rsidRDefault="00B030C9" w:rsidP="00B030C9">
      <w:pPr>
        <w:spacing w:after="50" w:line="217" w:lineRule="exact"/>
        <w:ind w:left="1296" w:hanging="432"/>
        <w:jc w:val="both"/>
        <w:rPr>
          <w:rFonts w:ascii="Arial" w:eastAsia="Times New Roman" w:hAnsi="Arial" w:cs="Arial"/>
          <w:sz w:val="18"/>
          <w:szCs w:val="24"/>
          <w:lang w:val="es-ES" w:eastAsia="es-ES"/>
        </w:rPr>
      </w:pPr>
      <w:r w:rsidRPr="00B030C9">
        <w:rPr>
          <w:rFonts w:ascii="Arial" w:eastAsia="Times New Roman" w:hAnsi="Arial" w:cs="Arial"/>
          <w:b/>
          <w:sz w:val="18"/>
          <w:szCs w:val="24"/>
          <w:lang w:val="es-ES" w:eastAsia="es-ES"/>
        </w:rPr>
        <w:t>b)</w:t>
      </w:r>
      <w:r w:rsidRPr="00B030C9">
        <w:rPr>
          <w:rFonts w:ascii="Arial" w:eastAsia="Times New Roman" w:hAnsi="Arial" w:cs="Arial"/>
          <w:b/>
          <w:sz w:val="18"/>
          <w:szCs w:val="24"/>
          <w:lang w:val="es-ES" w:eastAsia="es-ES"/>
        </w:rPr>
        <w:tab/>
      </w:r>
      <w:r w:rsidRPr="00B030C9">
        <w:rPr>
          <w:rFonts w:ascii="Arial" w:eastAsia="Times New Roman" w:hAnsi="Arial" w:cs="Arial"/>
          <w:sz w:val="18"/>
          <w:szCs w:val="24"/>
          <w:lang w:val="es-ES" w:eastAsia="es-ES"/>
        </w:rPr>
        <w:t>Que para cancelar la fianza será requisito contar con el acta administrativa de extinción de derechos y obligaciones, o bien, el finiquito y, en caso de existir saldos a cargo del contratista, la liquidación correspondiente.</w:t>
      </w:r>
    </w:p>
    <w:p w:rsidR="00B030C9" w:rsidRPr="00B030C9" w:rsidRDefault="00B030C9" w:rsidP="00B030C9">
      <w:pPr>
        <w:spacing w:after="50" w:line="217" w:lineRule="exact"/>
        <w:ind w:left="1296" w:hanging="432"/>
        <w:jc w:val="both"/>
        <w:rPr>
          <w:rFonts w:ascii="Arial" w:eastAsia="Times New Roman" w:hAnsi="Arial" w:cs="Arial"/>
          <w:sz w:val="18"/>
          <w:szCs w:val="24"/>
          <w:lang w:val="es-ES" w:eastAsia="es-ES"/>
        </w:rPr>
      </w:pPr>
      <w:r w:rsidRPr="00B030C9">
        <w:rPr>
          <w:rFonts w:ascii="Arial" w:eastAsia="Times New Roman" w:hAnsi="Arial" w:cs="Arial"/>
          <w:sz w:val="18"/>
          <w:szCs w:val="24"/>
          <w:lang w:val="es-ES" w:eastAsia="es-ES"/>
        </w:rPr>
        <w:tab/>
        <w:t>En el caso de la fianza que se constituya como garantía a la que alude el artículo 66 de la Ley, el contratista deberá presentar a la afianzadora el acta de recepción física de los trabajos después de transcurrido el plazo a que alude el artículo 95 de este Reglamento. De presentarse el supuesto a que se refiere el artículo 96 del presente Reglamento, el contratista presentará ante la afianzadora una manifestación expresa y por escrito de la dependencia o entidad en la que señale su conformidad para cancelar la fianza;</w:t>
      </w:r>
    </w:p>
    <w:p w:rsidR="00B030C9" w:rsidRPr="00B030C9" w:rsidRDefault="00B030C9" w:rsidP="00B030C9">
      <w:pPr>
        <w:spacing w:after="50" w:line="217" w:lineRule="exact"/>
        <w:ind w:left="1296" w:hanging="432"/>
        <w:jc w:val="both"/>
        <w:rPr>
          <w:rFonts w:ascii="Arial" w:eastAsia="Times New Roman" w:hAnsi="Arial" w:cs="Arial"/>
          <w:sz w:val="18"/>
          <w:szCs w:val="20"/>
          <w:lang w:val="es-ES" w:eastAsia="es-ES"/>
        </w:rPr>
      </w:pPr>
      <w:r w:rsidRPr="00B030C9">
        <w:rPr>
          <w:rFonts w:ascii="Arial" w:eastAsia="Times New Roman" w:hAnsi="Arial" w:cs="Arial"/>
          <w:b/>
          <w:sz w:val="18"/>
          <w:szCs w:val="20"/>
          <w:lang w:val="es-ES" w:eastAsia="es-ES"/>
        </w:rPr>
        <w:t>c)</w:t>
      </w:r>
      <w:r w:rsidRPr="00B030C9">
        <w:rPr>
          <w:rFonts w:ascii="Arial" w:eastAsia="Times New Roman" w:hAnsi="Arial" w:cs="Arial"/>
          <w:b/>
          <w:sz w:val="18"/>
          <w:szCs w:val="20"/>
          <w:lang w:val="es-ES" w:eastAsia="es-ES"/>
        </w:rPr>
        <w:tab/>
      </w:r>
      <w:r w:rsidRPr="00B030C9">
        <w:rPr>
          <w:rFonts w:ascii="Arial" w:eastAsia="Times New Roman" w:hAnsi="Arial" w:cs="Arial"/>
          <w:sz w:val="18"/>
          <w:szCs w:val="20"/>
          <w:lang w:val="es-ES" w:eastAsia="es-ES"/>
        </w:rPr>
        <w:t>Que la fianza permanecerá vigente durante el cumplimiento de la obligación que garantice y continuará vigente en caso de que se otorgue prórroga al cumplimiento del contrato, así como durante la substanciación de todos los recursos legales o de los juicios que se interpongan y hasta que se dicte resolución definitiva que quede firme, y</w:t>
      </w:r>
    </w:p>
    <w:p w:rsidR="00B030C9" w:rsidRPr="00B030C9" w:rsidRDefault="00B030C9" w:rsidP="00B030C9">
      <w:pPr>
        <w:spacing w:after="50" w:line="217" w:lineRule="exact"/>
        <w:ind w:left="1296" w:hanging="432"/>
        <w:jc w:val="both"/>
        <w:rPr>
          <w:rFonts w:ascii="Arial" w:eastAsia="Times New Roman" w:hAnsi="Arial" w:cs="Arial"/>
          <w:sz w:val="18"/>
          <w:szCs w:val="20"/>
          <w:lang w:val="es-ES" w:eastAsia="es-ES"/>
        </w:rPr>
      </w:pPr>
      <w:r w:rsidRPr="00B030C9">
        <w:rPr>
          <w:rFonts w:ascii="Arial" w:eastAsia="Times New Roman" w:hAnsi="Arial" w:cs="Arial"/>
          <w:b/>
          <w:sz w:val="18"/>
          <w:szCs w:val="20"/>
          <w:lang w:val="es-ES" w:eastAsia="es-ES"/>
        </w:rPr>
        <w:t>d)</w:t>
      </w:r>
      <w:r w:rsidRPr="00B030C9">
        <w:rPr>
          <w:rFonts w:ascii="Arial" w:eastAsia="Times New Roman" w:hAnsi="Arial" w:cs="Arial"/>
          <w:b/>
          <w:sz w:val="18"/>
          <w:szCs w:val="20"/>
          <w:lang w:val="es-ES" w:eastAsia="es-ES"/>
        </w:rPr>
        <w:tab/>
      </w:r>
      <w:r w:rsidRPr="00B030C9">
        <w:rPr>
          <w:rFonts w:ascii="Arial" w:eastAsia="Times New Roman" w:hAnsi="Arial" w:cs="Arial"/>
          <w:sz w:val="18"/>
          <w:szCs w:val="20"/>
          <w:lang w:val="es-ES" w:eastAsia="es-ES"/>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 Tratándose de dependencias, el procedimiento de ejecución será el previsto en el artículo 95 de la citada Ley, debiéndose atender para el cobro de indemnización por mora lo dispuesto en el artículo 95-Bis de dicha Ley;</w:t>
      </w:r>
    </w:p>
    <w:p w:rsidR="00B030C9" w:rsidRPr="00B030C9" w:rsidRDefault="00B030C9" w:rsidP="00B030C9">
      <w:pPr>
        <w:spacing w:after="50" w:line="217" w:lineRule="exact"/>
        <w:ind w:left="864" w:hanging="576"/>
        <w:jc w:val="both"/>
        <w:rPr>
          <w:rFonts w:ascii="Arial" w:eastAsia="Times New Roman" w:hAnsi="Arial" w:cs="Arial"/>
          <w:sz w:val="18"/>
          <w:szCs w:val="20"/>
          <w:lang w:val="es-ES" w:eastAsia="es-ES"/>
        </w:rPr>
      </w:pPr>
      <w:r w:rsidRPr="00B030C9">
        <w:rPr>
          <w:rFonts w:ascii="Arial" w:eastAsia="Times New Roman" w:hAnsi="Arial" w:cs="Arial"/>
          <w:b/>
          <w:sz w:val="18"/>
          <w:szCs w:val="20"/>
          <w:lang w:val="es-ES" w:eastAsia="es-ES"/>
        </w:rPr>
        <w:t>II.</w:t>
      </w:r>
      <w:r w:rsidRPr="00B030C9">
        <w:rPr>
          <w:rFonts w:ascii="Arial" w:eastAsia="Times New Roman" w:hAnsi="Arial" w:cs="Arial"/>
          <w:sz w:val="18"/>
          <w:szCs w:val="20"/>
          <w:lang w:val="es-ES" w:eastAsia="es-ES"/>
        </w:rPr>
        <w:tab/>
        <w:t>En caso de la celebración de convenios para ampliar el monto o el plazo de ejecución del contrato, se deberá realizar la modificación correspondiente a la fianza;</w:t>
      </w:r>
    </w:p>
    <w:p w:rsidR="00B030C9" w:rsidRPr="00B030C9" w:rsidRDefault="00B030C9" w:rsidP="00B030C9">
      <w:pPr>
        <w:spacing w:after="50" w:line="217" w:lineRule="exact"/>
        <w:ind w:left="864" w:hanging="576"/>
        <w:jc w:val="both"/>
        <w:rPr>
          <w:rFonts w:ascii="Arial" w:eastAsia="Times New Roman" w:hAnsi="Arial" w:cs="Arial"/>
          <w:sz w:val="18"/>
          <w:szCs w:val="20"/>
          <w:lang w:val="es-ES" w:eastAsia="es-ES"/>
        </w:rPr>
      </w:pPr>
      <w:r w:rsidRPr="00B030C9">
        <w:rPr>
          <w:rFonts w:ascii="Arial" w:eastAsia="Times New Roman" w:hAnsi="Arial" w:cs="Arial"/>
          <w:b/>
          <w:sz w:val="18"/>
          <w:szCs w:val="20"/>
          <w:lang w:val="es-ES" w:eastAsia="es-ES"/>
        </w:rPr>
        <w:t>III.</w:t>
      </w:r>
      <w:r w:rsidRPr="00B030C9">
        <w:rPr>
          <w:rFonts w:ascii="Arial" w:eastAsia="Times New Roman" w:hAnsi="Arial" w:cs="Arial"/>
          <w:b/>
          <w:sz w:val="18"/>
          <w:szCs w:val="20"/>
          <w:lang w:val="es-ES" w:eastAsia="es-ES"/>
        </w:rPr>
        <w:tab/>
      </w:r>
      <w:r w:rsidRPr="00B030C9">
        <w:rPr>
          <w:rFonts w:ascii="Arial" w:eastAsia="Times New Roman" w:hAnsi="Arial" w:cs="Arial"/>
          <w:sz w:val="18"/>
          <w:szCs w:val="20"/>
          <w:lang w:val="es-ES" w:eastAsia="es-ES"/>
        </w:rPr>
        <w:t>Cuando al realizarse el finiquito resulten saldos a cargo del contratista y éste efectúe la totalidad del pago en forma incondicional, las dependencias y entidades deberán cancelar la fianza respectiva, y</w:t>
      </w:r>
    </w:p>
    <w:p w:rsidR="00B030C9" w:rsidRPr="00B030C9" w:rsidRDefault="00B030C9" w:rsidP="00B030C9">
      <w:pPr>
        <w:spacing w:after="50" w:line="217" w:lineRule="exact"/>
        <w:ind w:left="864" w:hanging="576"/>
        <w:jc w:val="both"/>
        <w:rPr>
          <w:rFonts w:ascii="Arial" w:eastAsia="Times New Roman" w:hAnsi="Arial" w:cs="Arial"/>
          <w:sz w:val="18"/>
          <w:szCs w:val="20"/>
          <w:lang w:val="es-ES" w:eastAsia="es-ES"/>
        </w:rPr>
      </w:pPr>
      <w:r w:rsidRPr="00B030C9">
        <w:rPr>
          <w:rFonts w:ascii="Arial" w:eastAsia="Times New Roman" w:hAnsi="Arial" w:cs="Arial"/>
          <w:b/>
          <w:sz w:val="18"/>
          <w:szCs w:val="20"/>
          <w:lang w:val="es-ES" w:eastAsia="es-ES"/>
        </w:rPr>
        <w:lastRenderedPageBreak/>
        <w:t>IV.</w:t>
      </w:r>
      <w:r w:rsidRPr="00B030C9">
        <w:rPr>
          <w:rFonts w:ascii="Arial" w:eastAsia="Times New Roman" w:hAnsi="Arial" w:cs="Arial"/>
          <w:b/>
          <w:sz w:val="18"/>
          <w:szCs w:val="20"/>
          <w:lang w:val="es-ES" w:eastAsia="es-ES"/>
        </w:rPr>
        <w:tab/>
      </w:r>
      <w:r w:rsidRPr="00B030C9">
        <w:rPr>
          <w:rFonts w:ascii="Arial" w:eastAsia="Times New Roman" w:hAnsi="Arial" w:cs="Arial"/>
          <w:sz w:val="18"/>
          <w:szCs w:val="20"/>
          <w:lang w:val="es-ES" w:eastAsia="es-ES"/>
        </w:rPr>
        <w:t xml:space="preserve">Cuando se requiera hacer efectivas las fianzas, las dependencias deberán remitir a la Tesorería de la Federación, dentro del plazo a que hace referencia </w:t>
      </w:r>
      <w:r w:rsidRPr="00B030C9">
        <w:rPr>
          <w:rFonts w:ascii="Arial" w:eastAsia="Times New Roman" w:hAnsi="Arial" w:cs="Arial"/>
          <w:sz w:val="18"/>
          <w:szCs w:val="20"/>
          <w:lang w:eastAsia="es-ES"/>
        </w:rPr>
        <w:t xml:space="preserve">el artículo 143 del Reglamento de la Ley del Servicio de Tesorería de la Federación, </w:t>
      </w:r>
      <w:r w:rsidRPr="00B030C9">
        <w:rPr>
          <w:rFonts w:ascii="Arial" w:eastAsia="Times New Roman" w:hAnsi="Arial" w:cs="Arial"/>
          <w:sz w:val="18"/>
          <w:szCs w:val="20"/>
          <w:lang w:val="es-ES" w:eastAsia="es-ES"/>
        </w:rPr>
        <w:t>la solicitud donde se precise la información necesaria para identificar la obligación o crédito que se garantiza y los sujetos que se vinculan con la fianza, debiendo acompañar los documentos que soporten y justifiquen el cobro, de conformidad con lo dispuesto por el Reglamento del Artículo 95 de la Ley Federal de Instituciones de Fianzas, para el Cobro de Fianzas Otorgadas a Favor de la Federación, del Distrito Federal, de los Estados y de los Municipios Distintas de las que Garantizan Obligaciones Fiscales Federales a cargo de Terceros; tratándose de entidades la solicitud se remitirá al área correspondiente de la propia entidad.</w:t>
      </w:r>
    </w:p>
    <w:p w:rsidR="00B030C9" w:rsidRPr="008B16A6" w:rsidRDefault="00B030C9" w:rsidP="00B030C9">
      <w:pPr>
        <w:spacing w:after="50" w:line="217" w:lineRule="exact"/>
        <w:ind w:firstLine="288"/>
        <w:jc w:val="both"/>
        <w:rPr>
          <w:rFonts w:ascii="Arial" w:eastAsia="Times New Roman" w:hAnsi="Arial" w:cs="Arial"/>
          <w:b/>
          <w:i/>
          <w:sz w:val="18"/>
          <w:szCs w:val="20"/>
          <w:lang w:val="es-ES_tradnl" w:eastAsia="es-ES"/>
        </w:rPr>
      </w:pPr>
      <w:bookmarkStart w:id="0" w:name="_GoBack"/>
      <w:r w:rsidRPr="008B16A6">
        <w:rPr>
          <w:rFonts w:ascii="Arial" w:eastAsia="Times New Roman" w:hAnsi="Arial" w:cs="Arial"/>
          <w:b/>
          <w:i/>
          <w:sz w:val="18"/>
          <w:szCs w:val="20"/>
          <w:lang w:val="es-ES_tradnl" w:eastAsia="es-ES"/>
        </w:rPr>
        <w:t>Las modificaciones a las fianzas deberán formalizarse con la participación que corresponda a la afianzadora, en términos de las disposiciones aplicables.</w:t>
      </w:r>
    </w:p>
    <w:bookmarkEnd w:id="0"/>
    <w:p w:rsidR="00B030C9" w:rsidRPr="00B030C9" w:rsidRDefault="00B030C9" w:rsidP="00B030C9">
      <w:pPr>
        <w:spacing w:after="64" w:line="240" w:lineRule="auto"/>
        <w:jc w:val="both"/>
        <w:rPr>
          <w:rFonts w:ascii="Arial" w:eastAsia="Times New Roman" w:hAnsi="Arial" w:cs="Arial"/>
          <w:b/>
          <w:sz w:val="18"/>
          <w:szCs w:val="24"/>
          <w:lang w:val="es-ES_tradnl" w:eastAsia="es-ES"/>
        </w:rPr>
      </w:pPr>
    </w:p>
    <w:sectPr w:rsidR="00B030C9" w:rsidRPr="00B030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613DA"/>
    <w:rsid w:val="00413DB3"/>
    <w:rsid w:val="00457BE9"/>
    <w:rsid w:val="00473543"/>
    <w:rsid w:val="00495979"/>
    <w:rsid w:val="00692AD0"/>
    <w:rsid w:val="006950E2"/>
    <w:rsid w:val="006F7B91"/>
    <w:rsid w:val="00800CAE"/>
    <w:rsid w:val="008B16A6"/>
    <w:rsid w:val="008F780B"/>
    <w:rsid w:val="00923585"/>
    <w:rsid w:val="009719B5"/>
    <w:rsid w:val="00B030C9"/>
    <w:rsid w:val="00B32B83"/>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822</Words>
  <Characters>4524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2013-04-10T18:54:00Z</dcterms:created>
  <dcterms:modified xsi:type="dcterms:W3CDTF">2013-04-16T17:56:00Z</dcterms:modified>
</cp:coreProperties>
</file>